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البروجردي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البروجردي
</w:t>
      </w:r>
    </w:p>
    <w:p>
      <w:pPr/>
      <w:r>
        <w:rPr/>
        <w:t xml:space="preserve">البروجردي الشيخ المعمر الخطيب، أبو العباس أحمد بن محمد بن صالح.</w:t>
      </w:r>
    </w:p>
    <w:p/>
    <w:p>
      <w:pPr/>
      <w:r>
        <w:rPr/>
        <w:t xml:space="preserve">نزل بغداد، وروى جزءا عن إبراهيم بن ديزيل، فكان خاتمة أصحابه.</w:t>
      </w:r>
    </w:p>
    <w:p/>
    <w:p>
      <w:pPr/>
      <w:r>
        <w:rPr/>
        <w:t xml:space="preserve">روى عنه: هلال الحفار، ومحمد بن عمر بن بكير، ومحمد بن محمد السواق.</w:t>
      </w:r>
    </w:p>
    <w:p/>
    <w:p>
      <w:pPr/>
      <w:r>
        <w:rPr/>
        <w:t xml:space="preserve">بقي إلى شوال سنة ثمان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2026-07-28T14:45:57+03:00</dcterms:created>
  <dcterms:modified xsi:type="dcterms:W3CDTF">2026-07-28T14:45:57+03:00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