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الفحام
</w:t>
      </w:r>
    </w:p>
    <w:p>
      <w:pPr>
        <w:jc w:val="start"/>
        <w:bidi/>
      </w:pPr>
      <w:r>
        <w:rPr>
          <w:rFonts w:ascii="arial" w:hAnsi="arial" w:eastAsia="arial" w:cs="arial"/>
          <w:sz w:val="28"/>
          <w:szCs w:val="28"/>
          <w:b w:val="1"/>
          <w:bCs w:val="1"/>
          <w:rtl/>
        </w:rPr>
        <w:t xml:space="preserve">الفحام
</w:t>
      </w:r>
    </w:p>
    <w:p>
      <w:pPr/>
      <w:r>
        <w:rPr/>
        <w:t xml:space="preserve">الفحام  محمد بن عبد اللطيف الفحام : فقيه مصري، من علماء الازهر. تخرج به (1326 ه‍) وعين قاضيا شرعيا نحو 10 سنوات. ثم كان وكيلا للازهر والمعاهد الدينية، ورئيسا للجنة الفتوى الازهرية إلى أن توفي. له رسالتان في المنطق، هما (التصديقات - ط) و (الموجهات - ط) وخلف مكتبة خاصة نحو ألف مجلد، أهداها ورثته إلى المكتبة الازهرية. </w:t>
      </w:r>
    </w:p>
    <w:p>
      <w:pPr>
        <w:jc w:val="start"/>
        <w:bidi/>
      </w:pPr>
      <w:r>
        <w:rPr>
          <w:sz w:val="24"/>
          <w:szCs w:val="24"/>
          <w:b w:val="1"/>
          <w:bCs w:val="1"/>
          <w:rtl/>
        </w:rPr>
        <w:t xml:space="preserve">
الأعلام،(دار العلم للملايين - بيروت،2002،ط 15،ج 6،ص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2026-10-04T18:19:46+03:00</dcterms:created>
  <dcterms:modified xsi:type="dcterms:W3CDTF">2026-10-04T18:19:46+03:00</dcterms:modified>
</cp:coreProperties>
</file>

<file path=docProps/custom.xml><?xml version="1.0" encoding="utf-8"?>
<Properties xmlns="http://schemas.openxmlformats.org/officeDocument/2006/custom-properties" xmlns:vt="http://schemas.openxmlformats.org/officeDocument/2006/docPropsVTypes"/>
</file>