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اليزيدي
</w:t>
      </w:r>
    </w:p>
    <w:p>
      <w:pPr>
        <w:jc w:val="start"/>
        <w:bidi/>
      </w:pPr>
      <w:r>
        <w:rPr>
          <w:rFonts w:ascii="arial" w:hAnsi="arial" w:eastAsia="arial" w:cs="arial"/>
          <w:sz w:val="28"/>
          <w:szCs w:val="28"/>
          <w:b w:val="1"/>
          <w:bCs w:val="1"/>
          <w:rtl/>
        </w:rPr>
        <w:t xml:space="preserve">ابن اليزيدي
</w:t>
      </w:r>
    </w:p>
    <w:p>
      <w:pPr/>
      <w:r>
        <w:rPr/>
        <w:t xml:space="preserve">ابن اليزيدي العلامة، شيخ العربية، أبو عبد الله محمد بن العباس بن محمد بن أبي محمد يحيى بن المبارك اليزيدي البغدادي. كان رأسا في نقل النوادر وكلام العرب، إماما في النحو.</w:t>
      </w:r>
    </w:p>
    <w:p/>
    <w:p>
      <w:pPr/>
      <w:r>
        <w:rPr/>
        <w:t xml:space="preserve">له كتاب ’’الخيل’’، وكتاب ’’مناقب بني العباس’’، وكتاب ’’أخبار اليزيديين’’، ومصنف في النحو. أدب أولاد المقتدر.</w:t>
      </w:r>
    </w:p>
    <w:p/>
    <w:p>
      <w:pPr/>
      <w:r>
        <w:rPr/>
        <w:t xml:space="preserve">توفي في جمادى الآخرة، سنة عشر وثلاث مائة، عن ثنتين وثمانين سنة وثلاثة أشهر.</w:t>
      </w:r>
    </w:p>
    <w:p>
      <w:pPr>
        <w:jc w:val="start"/>
        <w:bidi/>
      </w:pPr>
      <w:r>
        <w:rPr>
          <w:sz w:val="24"/>
          <w:szCs w:val="24"/>
          <w:b w:val="1"/>
          <w:bCs w:val="1"/>
          <w:rtl/>
        </w:rPr>
        <w:t xml:space="preserve">
سير أعلام النبلاء،(دار الحديث- القاهرة،2006،ط 0،ج 11،ص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2026-07-28T20:02:50+03:00</dcterms:created>
  <dcterms:modified xsi:type="dcterms:W3CDTF">2026-07-28T20:02:50+03:00</dcterms:modified>
</cp:coreProperties>
</file>

<file path=docProps/custom.xml><?xml version="1.0" encoding="utf-8"?>
<Properties xmlns="http://schemas.openxmlformats.org/officeDocument/2006/custom-properties" xmlns:vt="http://schemas.openxmlformats.org/officeDocument/2006/docPropsVTypes"/>
</file>