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محمد صالح
</w:t>
      </w:r>
    </w:p>
    <w:p>
      <w:pPr>
        <w:jc w:val="start"/>
        <w:bidi/>
      </w:pPr>
      <w:r>
        <w:rPr>
          <w:rFonts w:ascii="arial" w:hAnsi="arial" w:eastAsia="arial" w:cs="arial"/>
          <w:sz w:val="28"/>
          <w:szCs w:val="28"/>
          <w:b w:val="1"/>
          <w:bCs w:val="1"/>
          <w:rtl/>
        </w:rPr>
        <w:t xml:space="preserve">الدكتور محمد صالح
</w:t>
      </w:r>
    </w:p>
    <w:p>
      <w:pPr/>
      <w:r>
        <w:rPr/>
        <w:t xml:space="preserve">الدكتور محمد صالح  محمد بن عبد العليم صالح: عالم بالحقوق، مصري. كان وكيلا للجامعة بالقاهرة، وعميدا لكلية الحقوق. ثم اقتصر على تدريس القانون التجاري بكلية الحقوق. اصله من (ششت الانعام) من قرى ايتاى البارود (بمصر) ولد بالاسكندرية، وتعلم في القاهرة، وسكن حلوان وتوفي بها، ودفن بالقاهرة، له كتب، منها (اصول التعهدات -ط) و (الاوراق التجاية واعمال البنوك والافلاس -ط) و (الافلاس والصلح الواقي -ط) و (شرح القانون التجاري المصري -ط) جزآن، و (شرح القاونون التجاري في القانون المصري والشريعة الاسلامية والقانون المقارن ومشروع قانون الشركات -ط) المجلد الاول منه، و (اصول الاقتصاد -ط). </w:t>
      </w:r>
    </w:p>
    <w:p>
      <w:pPr>
        <w:jc w:val="start"/>
        <w:bidi/>
      </w:pPr>
      <w:r>
        <w:rPr>
          <w:sz w:val="24"/>
          <w:szCs w:val="24"/>
          <w:b w:val="1"/>
          <w:bCs w:val="1"/>
          <w:rtl/>
        </w:rPr>
        <w:t xml:space="preserve">
الأعلام،(دار العلم للملايين - بيروت،2002،ط 15،ج 6،ص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2026-10-04T17:37:07+03:00</dcterms:created>
  <dcterms:modified xsi:type="dcterms:W3CDTF">2026-10-04T17:37:07+03:00</dcterms:modified>
</cp:coreProperties>
</file>

<file path=docProps/custom.xml><?xml version="1.0" encoding="utf-8"?>
<Properties xmlns="http://schemas.openxmlformats.org/officeDocument/2006/custom-properties" xmlns:vt="http://schemas.openxmlformats.org/officeDocument/2006/docPropsVTypes"/>
</file>