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تره
</w:t>
      </w:r>
    </w:p>
    <w:p>
      <w:pPr>
        <w:jc w:val="start"/>
        <w:bidi/>
      </w:pPr>
      <w:r>
        <w:rPr>
          <w:rFonts w:ascii="arial" w:hAnsi="arial" w:eastAsia="arial" w:cs="arial"/>
          <w:sz w:val="28"/>
          <w:szCs w:val="28"/>
          <w:b w:val="1"/>
          <w:bCs w:val="1"/>
          <w:rtl/>
        </w:rPr>
        <w:t xml:space="preserve">محمد تره
</w:t>
      </w:r>
    </w:p>
    <w:p>
      <w:pPr/>
      <w:r>
        <w:rPr/>
        <w:t xml:space="preserve">محمد تره  محمد عبد الرحيم بن أحمد تره: باحث أديب مصري. ولد في إحدى قرى المحلة الكبرى. وتفقه بالازهر. وكتب رسالة سماها (عمدة الاحكام) أغضبت بعض علماء الازهر، فرموه بالخروج على الدين، فعمل مدرسا في سمنود ثم في مدرسة الاميركان بالمحلة. وكتب فصولا في الصحف. وصنف (حديقة الادب - ط) و (المرأة العصرية - ط) و (عمدة الاحكام في الطلاق في الاسلام - ط) و (كفاية المستفتي عند غيبة المفتي - ط) و (الاسلام والمدنية - ط) و (كليلة ودمنة - ط) نظما، وكتبا أخرى لا تزال مخطوطة. </w:t>
      </w:r>
    </w:p>
    <w:p>
      <w:pPr>
        <w:jc w:val="start"/>
        <w:bidi/>
      </w:pPr>
      <w:r>
        <w:rPr>
          <w:sz w:val="24"/>
          <w:szCs w:val="24"/>
          <w:b w:val="1"/>
          <w:bCs w:val="1"/>
          <w:rtl/>
        </w:rPr>
        <w:t xml:space="preserve">
الأعلام،(دار العلم للملايين - بيروت،2002،ط 15،ج 6،ص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2026-10-04T16:31:39+03:00</dcterms:created>
  <dcterms:modified xsi:type="dcterms:W3CDTF">2026-10-04T16:31:39+03:00</dcterms:modified>
</cp:coreProperties>
</file>

<file path=docProps/custom.xml><?xml version="1.0" encoding="utf-8"?>
<Properties xmlns="http://schemas.openxmlformats.org/officeDocument/2006/custom-properties" xmlns:vt="http://schemas.openxmlformats.org/officeDocument/2006/docPropsVTypes"/>
</file>