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الطولوني
</w:t>
      </w:r>
    </w:p>
    <w:p>
      <w:pPr>
        <w:jc w:val="start"/>
        <w:bidi/>
      </w:pPr>
      <w:r>
        <w:rPr>
          <w:rFonts w:ascii="arial" w:hAnsi="arial" w:eastAsia="arial" w:cs="arial"/>
          <w:sz w:val="28"/>
          <w:szCs w:val="28"/>
          <w:b w:val="1"/>
          <w:bCs w:val="1"/>
          <w:rtl/>
        </w:rPr>
        <w:t xml:space="preserve">الطولوني
</w:t>
      </w:r>
    </w:p>
    <w:p>
      <w:pPr/>
      <w:r>
        <w:rPr/>
        <w:t xml:space="preserve">الطولوني  محمد بن عبد الرحمن بن أبي بكر بن محمد الطولوني : أديب، له (العقد النفيس ونزهة الجليس - خ) في الازهرية، قال مفهرس خزانتها : فرغ من تأليفه سنة 974 قلت : وورد اسم الكتاب في ذيل كشف الظنون، وفيه كلمات من مقدمته تدل على أن صاحب الذيل رأى نسخة منه، وقال : (فرع المؤلف من كتابته سنة 867) وبهذا يجب الرجوع إلى نسخة الازهر للتثبت من معرفة الكاتب لجملة الفراغ من تأليفها، هل هو المصنف أم كاتب من النساخ؟ ويأتي الحكم بعد ذلك على تقدير وفاة الطولوني. </w:t>
      </w:r>
    </w:p>
    <w:p>
      <w:pPr>
        <w:jc w:val="start"/>
        <w:bidi/>
      </w:pPr>
      <w:r>
        <w:rPr>
          <w:sz w:val="24"/>
          <w:szCs w:val="24"/>
          <w:b w:val="1"/>
          <w:bCs w:val="1"/>
          <w:rtl/>
        </w:rPr>
        <w:t xml:space="preserve">
الأعلام،(دار العلم للملايين - بيروت،2002،ط 15،ج 6،ص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2026-10-04T15:27:53+03:00</dcterms:created>
  <dcterms:modified xsi:type="dcterms:W3CDTF">2026-10-04T15:27:53+03:00</dcterms:modified>
</cp:coreProperties>
</file>

<file path=docProps/custom.xml><?xml version="1.0" encoding="utf-8"?>
<Properties xmlns="http://schemas.openxmlformats.org/officeDocument/2006/custom-properties" xmlns:vt="http://schemas.openxmlformats.org/officeDocument/2006/docPropsVTypes"/>
</file>