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المستكفي الأموي
</w:t>
      </w:r>
    </w:p>
    <w:p>
      <w:pPr>
        <w:jc w:val="start"/>
        <w:bidi/>
      </w:pPr>
      <w:r>
        <w:rPr>
          <w:rFonts w:ascii="arial" w:hAnsi="arial" w:eastAsia="arial" w:cs="arial"/>
          <w:sz w:val="28"/>
          <w:szCs w:val="28"/>
          <w:b w:val="1"/>
          <w:bCs w:val="1"/>
          <w:rtl/>
        </w:rPr>
        <w:t xml:space="preserve">المستكفي الأموي
</w:t>
      </w:r>
    </w:p>
    <w:p>
      <w:pPr/>
      <w:r>
        <w:rPr/>
        <w:t xml:space="preserve">المستكفي الأموي  محمد بن عبد الرحمن بن عبيد الله ابن الناصر الاموي، ابو عبد الرحمن، المستكفي باله: صاحب قرطبة. من ملوك الامويين بالاندلي. ثار بطائفة من الغوغاء على سلفه المسنظهر باله (عبد الرحمن بن هشام) فقتلوه، وتولى الامر بعده (سنة 414هـ) وساءت سياسته. واقام 17 شهرا. وعلم أهل قرطبة بزحف (يحيى بن علي الحمودي) عليهم من مالقة، فدخلوا على المستكفى وخلعوه واخرجواه إلى ظاهر المدينة، فلحق شنت (قرب مدينة سالم) وقيل بأقليش. </w:t>
      </w:r>
    </w:p>
    <w:p/>
    <w:p>
      <w:pPr/>
      <w:r>
        <w:rPr/>
        <w:t xml:space="preserve">قال ابن حزم: كان المستكفى في نهاية الضعة والشقوط والضعف والتاخر.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الأموي
</w:t>
      </w:r>
    </w:p>
    <w:p>
      <w:pPr/>
      <w:r>
        <w:rPr/>
        <w:t xml:space="preserve">المستكفي الأموي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w:t>
      </w:r>
    </w:p>
    <w:p>
      <w:pPr/>
      <w:r>
        <w:rPr/>
        <w:t xml:space="preserve">المستكفي محمد بن عبد الرحمن بن عبيد الله بن عبد الرحمن الناصر، الأموي المرواني.</w:t>
      </w:r>
    </w:p>
    <w:p/>
    <w:p>
      <w:pPr/>
      <w:r>
        <w:rPr/>
        <w:t xml:space="preserve">خرج على ابن عمه الملقب بالمستظهر بقرطبة، في ذي القعدة سنة أربع عشرة وأربع مائة، وقتله، وتمكن.</w:t>
      </w:r>
    </w:p>
    <w:p/>
    <w:p>
      <w:pPr/>
      <w:r>
        <w:rPr/>
        <w:t xml:space="preserve">وكان أحمق طائشا.</w:t>
      </w:r>
    </w:p>
    <w:p/>
    <w:p>
      <w:pPr/>
      <w:r>
        <w:rPr/>
        <w:t xml:space="preserve">وزر له أحمد الحايك، ثم إنه قتل وزيره هذا، فقاموا عليه، وخلعوه، وسجن وثلاثا لا يطعم فيها، ثم طردوه، فلحق بالثغور، ثم إن بعض أمرائه سمه في دجاجة في سنة بضع عشرة وأربع مائة.</w:t>
      </w:r>
    </w:p>
    <w:p>
      <w:pPr>
        <w:jc w:val="start"/>
        <w:bidi/>
      </w:pPr>
      <w:r>
        <w:rPr>
          <w:sz w:val="24"/>
          <w:szCs w:val="24"/>
          <w:b w:val="1"/>
          <w:bCs w:val="1"/>
          <w:rtl/>
        </w:rPr>
        <w:t xml:space="preserve">
سير أعلام النبلاء،(دار الحديث- القاهرة،2006،ط 1،ج 13،ص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2026-10-04T14:41:44+03:00</dcterms:created>
  <dcterms:modified xsi:type="dcterms:W3CDTF">2026-10-04T14:41:44+03:00</dcterms:modified>
</cp:coreProperties>
</file>

<file path=docProps/custom.xml><?xml version="1.0" encoding="utf-8"?>
<Properties xmlns="http://schemas.openxmlformats.org/officeDocument/2006/custom-properties" xmlns:vt="http://schemas.openxmlformats.org/officeDocument/2006/docPropsVTypes"/>
</file>