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بنت الميلق
</w:t>
      </w:r>
    </w:p>
    <w:p>
      <w:pPr>
        <w:jc w:val="start"/>
        <w:bidi/>
      </w:pPr>
      <w:r>
        <w:rPr>
          <w:rFonts w:ascii="arial" w:hAnsi="arial" w:eastAsia="arial" w:cs="arial"/>
          <w:sz w:val="28"/>
          <w:szCs w:val="28"/>
          <w:b w:val="1"/>
          <w:bCs w:val="1"/>
          <w:rtl/>
        </w:rPr>
        <w:t xml:space="preserve">ابن بنت الميلق
</w:t>
      </w:r>
    </w:p>
    <w:p>
      <w:pPr/>
      <w:r>
        <w:rPr/>
        <w:t xml:space="preserve">ابن بنت الميلق  محمد بن عبد الدائم بن محمد، ابو المعالي، ناصر الدين المعروف بابن بنت الميلق، ويختصر فيقال ابن الميلق: قاض مصري. كان شافعيا شاذليا، واعظا بليغا. ولاه الظاهر (0برقوق) القضاء. وباشره بعفة ونزاهة مدة اثنتي عشرة سنة. وعزل بعد فتنه (منطاش) واهين. وانقطع عن الاعمال إلى ان توفي. من كتبه (حادي القلوب إلى لقاء المحبوب -خ) تصوف، و (الانوار اللائحة في اسرار القاتحة -خ) و (جواب من استفهم عن اسم الله الاعظم -خ) و (قصيدة) مطلعها:</w:t>
      </w:r>
    </w:p>
    <w:p/>
    <w:p>
      <w:pPr/>
      <w:r>
        <w:rPr/>
        <w:t xml:space="preserve">#من ذاق طعم شراب القوم يدريهشرحها ابن علان (المتقدمة ترجمته) وطبعت مع الشرح. </w:t>
      </w:r>
    </w:p>
    <w:p>
      <w:pPr>
        <w:jc w:val="start"/>
        <w:bidi/>
      </w:pPr>
      <w:r>
        <w:rPr>
          <w:sz w:val="24"/>
          <w:szCs w:val="24"/>
          <w:b w:val="1"/>
          <w:bCs w:val="1"/>
          <w:rtl/>
        </w:rPr>
        <w:t xml:space="preserve">
الأعلام،(دار العلم للملايين - بيروت،2002،ط 15،ج 6،ص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الدائم بن محمد بن سلامة المضري الشاذلي المعروف بابن بنت الميلق
</w:t>
      </w:r>
    </w:p>
    <w:p>
      <w:pPr/>
      <w:r>
        <w:rPr/>
        <w:t xml:space="preserve">محمد بن عبد الدائم بن محمد بن سلامة المضري الشاذلي المعروف بابن بنت الميلق محمد بن عبد الدائم بن محمد بن سلامة المضري الشاذلي المعروف بابن بنت الميلق القاضي ناصر الدين أبو المعالي ولد سنة 31 وسمع من بعض أصحاب أبي نعيم بن الاسعردي وأحمد بن كشتغدي وعائشة بنت الصنهاجي وغيرهم من أصحاب النجيب واشتغل وحضر دروس ابن عدلان والشهاب الأنصاري والشهاب البلبيسي وأخذ عن بهاء الدين ابن عقيل ولم تكن له همة في الفقه وإنما كان يتعانى الوعظ عمل المواعيد على طريق الشاذلية فنفق سوقه وكان ذكيا يحسن النظم والنثر والخطب لبلاغة كانت فيه ومهر في الأدب وكثر أتباعه بسبب الوعظ وعظم صيته وأدخله ابن جماعة في الفقهاء وولاه تدريسا وتقرر في خطابة مدرسة الناصر حسن ثم ولاه الملك الظاهر برقوق القضاء فباشره بعفة ونزاهة وحرمة بعد أن شرط شروطا فلما كانت فتنة منطاش عزل في شوال سنة إحدى بعد أن كتب في الفتاوي المتعلقة ببرقوق فلما عاد مقته وسلط عليه من آذاه فاحضر مجلس حكمه بالقلعة فأهين والزم ببذل مال جليل فباع فيه بستانه وانقطع خاملا إلى أن مات بمنزله في جمادى الآخرة سنة 797 وكانت ولايته في شعبان سنة 789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2026-10-04T14:41:36+03:00</dcterms:created>
  <dcterms:modified xsi:type="dcterms:W3CDTF">2026-10-04T14:41:36+03:00</dcterms:modified>
</cp:coreProperties>
</file>

<file path=docProps/custom.xml><?xml version="1.0" encoding="utf-8"?>
<Properties xmlns="http://schemas.openxmlformats.org/officeDocument/2006/custom-properties" xmlns:vt="http://schemas.openxmlformats.org/officeDocument/2006/docPropsVTypes"/>
</file>