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w:t>
      </w:r>
    </w:p>
    <w:p>
      <w:pPr>
        <w:jc w:val="start"/>
        <w:bidi/>
      </w:pPr>
      <w:r>
        <w:rPr>
          <w:rFonts w:ascii="arial" w:hAnsi="arial" w:eastAsia="arial" w:cs="arial"/>
          <w:sz w:val="28"/>
          <w:szCs w:val="28"/>
          <w:b w:val="1"/>
          <w:bCs w:val="1"/>
          <w:rtl/>
        </w:rPr>
        <w:t xml:space="preserve">عبد الحق
</w:t>
      </w:r>
    </w:p>
    <w:p>
      <w:pPr/>
      <w:r>
        <w:rPr/>
        <w:t xml:space="preserve">عبد الحق  محمد عبد الحق بن شاه محمد بن يارمحمد، الاله ابادي، الهندي المكي الحنفي: مفسر، عالم بفقه الحنفية واصوله. ضعيف في الحديث. له اشتغال واصوله. ضعيف في الحديث. له اشتغال بالفلسفة والتصوف على طريقة ابي عربي. ولد وتعلم في (الة آباد) بالهند، وحج سنة 1283هـ ، فاقام بالمدينة اربع سنوات. وسكن مكة وعرف فيها بشيخ الدلائل، لان الحجاج الهنود كانوا ياخذون منه اجازة (دلائل الخيرات) ويبايعونه. وتوفي بها ودفن بالمعلاة. له كتب، منها (الاكليل على مدارك التنزيل -ط) في شرح تفسير النسفي، سبعة اجزاء في ثلاثة مجلدا، و (سراج السلكين -ط) في شرح منهاج العابدين للغزالي، و (وحشية على شرح السلم -ط) في المنطق. </w:t>
      </w:r>
    </w:p>
    <w:p>
      <w:pPr>
        <w:jc w:val="start"/>
        <w:bidi/>
      </w:pPr>
      <w:r>
        <w:rPr>
          <w:sz w:val="24"/>
          <w:szCs w:val="24"/>
          <w:b w:val="1"/>
          <w:bCs w:val="1"/>
          <w:rtl/>
        </w:rPr>
        <w:t xml:space="preserve">
الأعلام،(دار العلم للملايين - بيروت،2002،ط 15،ج 6،ص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2026-10-04T13:38:03+03:00</dcterms:created>
  <dcterms:modified xsi:type="dcterms:W3CDTF">2026-10-04T13:38:03+03:00</dcterms:modified>
</cp:coreProperties>
</file>

<file path=docProps/custom.xml><?xml version="1.0" encoding="utf-8"?>
<Properties xmlns="http://schemas.openxmlformats.org/officeDocument/2006/custom-properties" xmlns:vt="http://schemas.openxmlformats.org/officeDocument/2006/docPropsVTypes"/>
</file>