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الشيرازي
</w:t>
      </w:r>
    </w:p>
    <w:p>
      <w:pPr>
        <w:jc w:val="start"/>
        <w:bidi/>
      </w:pPr>
      <w:r>
        <w:rPr>
          <w:rFonts w:ascii="arial" w:hAnsi="arial" w:eastAsia="arial" w:cs="arial"/>
          <w:sz w:val="28"/>
          <w:szCs w:val="28"/>
          <w:b w:val="1"/>
          <w:bCs w:val="1"/>
          <w:rtl/>
        </w:rPr>
        <w:t xml:space="preserve">الشيرازي
</w:t>
      </w:r>
    </w:p>
    <w:p>
      <w:pPr/>
      <w:r>
        <w:rPr/>
        <w:t xml:space="preserve">الشيرازي  محمد بن العباس الشيازي، ابو الفرج: وزير، من الكتاب. من أهل شيراز. كان كاتبا لمعز الدولة البويهي، وتقلد ديوانه، ثم ناب في الوزارة. ولما مات (معز الدولة) ولي الوزارة للمطيع العباسي (سنة 359هـ) ولعز الدولة بختيار بن معز الدولة. وعزل بعد سنة واربعين يوما، وحبس بالبصرة. وكان راحج العلم فاضلا امينا. </w:t>
      </w:r>
    </w:p>
    <w:p>
      <w:pPr>
        <w:jc w:val="start"/>
        <w:bidi/>
      </w:pPr>
      <w:r>
        <w:rPr>
          <w:sz w:val="24"/>
          <w:szCs w:val="24"/>
          <w:b w:val="1"/>
          <w:bCs w:val="1"/>
          <w:rtl/>
        </w:rPr>
        <w:t xml:space="preserve">
الأعلام،(دار العلم للملايين - بيروت،2002،ط 15،ج 6،ص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الشيرازي
</w:t>
      </w:r>
    </w:p>
    <w:p>
      <w:pPr/>
      <w:r>
        <w:rPr/>
        <w:t xml:space="preserve">الشيرازي الوزير الأكمل، أبو الفرج محمد بن العباس بن فسانجس الشيرازي الكاتب، كاتب معز الدولة، قلده ديوانه، ورد إليه ضبط المال مع وزيره المهلبي، وناب في الوزارة، فلما مات معز الدولة تلقب أبو الفرج بالوزارة من المطيع لله، ثم ولي الوزارة لعز الدولة بن المعز في سنة تسع وخمسين وثلاث مائة، ثم إنه عزل بعد سنة وحبس.</w:t>
      </w:r>
    </w:p>
    <w:p/>
    <w:p>
      <w:pPr/>
      <w:r>
        <w:rPr/>
        <w:t xml:space="preserve">قال إبراهيم الصابي: كان وقورا في المجلس، راجح الحلم، دينا، حسن الطريقة، وافر الأمانة. ولأحمد بن علي بن المنجم يمدح أبا الفرج: </w:t>
      </w:r>
    </w:p>
    <w:p/>
    <w:p>
      <w:pPr>
        <w:jc w:val="center"/>
      </w:pPr>
      <w:r>
        <w:rPr>
          <w:color w:val="ff0000"/>
        </w:rPr>
        <w:t xml:space="preserve">قل للوزير سليل المجد والكرم</w:t>
      </w:r>
      <w:r>
        <w:rPr>
          <w:color w:val="ff0000"/>
        </w:rPr>
        <w:t xml:space="preserve">      </w:t>
      </w:r>
      <w:r>
        <w:rPr>
          <w:color w:val="ff0000"/>
        </w:rPr>
        <w:t xml:space="preserve"> ومن له قامت الدنيا على قدم</w:t>
      </w:r>
    </w:p>
    <w:p/>
    <w:p>
      <w:pPr>
        <w:jc w:val="center"/>
      </w:pPr>
      <w:r>
        <w:rPr>
          <w:color w:val="ff0000"/>
        </w:rPr>
        <w:t xml:space="preserve">ومن يداه معا تجري ندى وردى</w:t>
      </w:r>
      <w:r>
        <w:rPr>
          <w:color w:val="ff0000"/>
        </w:rPr>
        <w:t xml:space="preserve">      </w:t>
      </w:r>
      <w:r>
        <w:rPr>
          <w:color w:val="ff0000"/>
        </w:rPr>
        <w:t xml:space="preserve"> يجريهما حكم عدل السيف والقلم</w:t>
      </w:r>
    </w:p>
    <w:p/>
    <w:p>
      <w:pPr>
        <w:jc w:val="center"/>
      </w:pPr>
      <w:r>
        <w:rPr>
          <w:color w:val="ff0000"/>
        </w:rPr>
        <w:t xml:space="preserve">ومن إذا هم أن يمضي عزائمه</w:t>
      </w:r>
      <w:r>
        <w:rPr>
          <w:color w:val="ff0000"/>
        </w:rPr>
        <w:t xml:space="preserve">      </w:t>
      </w:r>
      <w:r>
        <w:rPr>
          <w:color w:val="ff0000"/>
        </w:rPr>
        <w:t xml:space="preserve"> رأيت ما يفعل الأقدار في الأمم</w:t>
      </w:r>
    </w:p>
    <w:p/>
    <w:p>
      <w:pPr>
        <w:jc w:val="center"/>
      </w:pPr>
      <w:r>
        <w:rPr>
          <w:color w:val="ff0000"/>
        </w:rPr>
        <w:t xml:space="preserve">لأنت أشهر في رعي الذمام وفي</w:t>
      </w:r>
      <w:r>
        <w:rPr>
          <w:color w:val="ff0000"/>
        </w:rPr>
        <w:t xml:space="preserve">      </w:t>
      </w:r>
      <w:r>
        <w:rPr>
          <w:color w:val="ff0000"/>
        </w:rPr>
        <w:t xml:space="preserve"> حكم المكارم من نار على علم</w:t>
      </w:r>
    </w:p>
    <w:p/>
    <w:p>
      <w:pPr/>
      <w:r>
        <w:rPr/>
        <w:t xml:space="preserve">مات الوزير أبو الفرج في شهر ذي القعدة سنة سبعين وثلاث مائة، وله اثنتان وستون سنة.</w:t>
      </w:r>
    </w:p>
    <w:p/>
    <w:p>
      <w:pPr/>
      <w:r>
        <w:rPr/>
        <w:t xml:space="preserve">الشيرازي، والبكائي: </w:t>
      </w:r>
    </w:p>
    <w:p>
      <w:pPr>
        <w:jc w:val="start"/>
        <w:bidi/>
      </w:pPr>
      <w:r>
        <w:rPr>
          <w:sz w:val="24"/>
          <w:szCs w:val="24"/>
          <w:b w:val="1"/>
          <w:bCs w:val="1"/>
          <w:rtl/>
        </w:rPr>
        <w:t xml:space="preserve">
سير أعلام النبلاء،(دار الحديث- القاهرة،2006،ط 1،ج 12،ص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2026-10-04T12:32:42+03:00</dcterms:created>
  <dcterms:modified xsi:type="dcterms:W3CDTF">2026-10-04T12:32:42+03:00</dcterms:modified>
</cp:coreProperties>
</file>

<file path=docProps/custom.xml><?xml version="1.0" encoding="utf-8"?>
<Properties xmlns="http://schemas.openxmlformats.org/officeDocument/2006/custom-properties" xmlns:vt="http://schemas.openxmlformats.org/officeDocument/2006/docPropsVTypes"/>
</file>