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عابد السندي
</w:t>
      </w:r>
    </w:p>
    <w:p>
      <w:pPr>
        <w:jc w:val="start"/>
        <w:bidi/>
      </w:pPr>
      <w:r>
        <w:rPr>
          <w:rFonts w:ascii="arial" w:hAnsi="arial" w:eastAsia="arial" w:cs="arial"/>
          <w:sz w:val="28"/>
          <w:szCs w:val="28"/>
          <w:b w:val="1"/>
          <w:bCs w:val="1"/>
          <w:rtl/>
        </w:rPr>
        <w:t xml:space="preserve">محمد عابد السندي
</w:t>
      </w:r>
    </w:p>
    <w:p>
      <w:pPr/>
      <w:r>
        <w:rPr/>
        <w:t xml:space="preserve">محمد عابد السندي  محمد عابد بن أحمد بن علي بن يعقوب السندي الانصاري: فقيه حنفي، عالم بالحديث. من القضاة. اصله من سيون (على شيء النهر، شمال حيدرآباد السند) ولي قضاء زبيد (باليمن) وانتقل إلى صنعاء بطلب الامام المنصور بالله (علي) وارسله الامام المهدي (عبد الله) إلى محمد علي باشا والي مصر بهدية (سنة 1232هـ) فولاه محمد علي رياسة علماء المدينة المنورة فسكنها وتوفي بها. ولم يخلف عقبا. وهو اول من اخرج إلى اليمن كتاب (‏تحفة المؤمنين) في الطب. وجمع مكتبة نفيسة وقفها في المدينة. وصنف كتبا، منها (حصر الشارد في اسانيد محمد عابد -) و (المواهب اللطيفة على مسند الامام ابي حنيفة) و (طوالع الانوار على الدر المختار) و (شرح بلوغ المرام لابن حجر -خ) قطعة منه في المدينة، ولم يتمه، و (منحه الباري بمكرات البخاري) و (ترتيب مسند الامام الشافعي -ط) رتبه على ابواب الفقه.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2026-10-04T12:45:47+03:00</dcterms:created>
  <dcterms:modified xsi:type="dcterms:W3CDTF">2026-10-04T12:45:47+03:00</dcterms:modified>
</cp:coreProperties>
</file>

<file path=docProps/custom.xml><?xml version="1.0" encoding="utf-8"?>
<Properties xmlns="http://schemas.openxmlformats.org/officeDocument/2006/custom-properties" xmlns:vt="http://schemas.openxmlformats.org/officeDocument/2006/docPropsVTypes"/>
</file>