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عائض
</w:t>
      </w:r>
    </w:p>
    <w:p>
      <w:pPr>
        <w:jc w:val="start"/>
        <w:bidi/>
      </w:pPr>
      <w:r>
        <w:rPr>
          <w:rFonts w:ascii="arial" w:hAnsi="arial" w:eastAsia="arial" w:cs="arial"/>
          <w:sz w:val="28"/>
          <w:szCs w:val="28"/>
          <w:b w:val="1"/>
          <w:bCs w:val="1"/>
          <w:rtl/>
        </w:rPr>
        <w:t xml:space="preserve">ابن عائض
</w:t>
      </w:r>
    </w:p>
    <w:p>
      <w:pPr/>
      <w:r>
        <w:rPr/>
        <w:t xml:space="preserve">ابن عائض  محمد بن عائض بن مرعي، من بني مغيد: امير بلاد (عسير). وليها في حدائة سنه، عام 1273هـ. وجاءته من الاستانة خلعة الباشورية. واستمر إلى ان طمع بضم تهامة إلى عسير، فحشد جموعا وزحف إلى (باجل) ووجه منها قوة إلى (الحديدة) وكانت في ايدي الترك، فنشبت معركة انهزم بها الجيش ابن عائض وعادت اليه الفلوا. ثم لم يلبث ان فوجيء بزحزف الترك تستولي على بلاده، فتحصن في قرية (ريدة) واضطر إلى الاستسلام، فخرج بشروط وامان. ونقض التك عهدهم له، فحبسوه مع بعض رجاله، ثم اخرجوهم وقتلوهم جميعا. </w:t>
      </w:r>
    </w:p>
    <w:p>
      <w:pPr>
        <w:jc w:val="start"/>
        <w:bidi/>
      </w:pPr>
      <w:r>
        <w:rPr>
          <w:sz w:val="24"/>
          <w:szCs w:val="24"/>
          <w:b w:val="1"/>
          <w:bCs w:val="1"/>
          <w:rtl/>
        </w:rPr>
        <w:t xml:space="preserve">
الأعلام،(دار العلم للملايين - بيروت،2002،ط 15،ج 6،ص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2026-10-04T12:38:05+03:00</dcterms:created>
  <dcterms:modified xsi:type="dcterms:W3CDTF">2026-10-04T12:38:05+03:00</dcterms:modified>
</cp:coreProperties>
</file>

<file path=docProps/custom.xml><?xml version="1.0" encoding="utf-8"?>
<Properties xmlns="http://schemas.openxmlformats.org/officeDocument/2006/custom-properties" xmlns:vt="http://schemas.openxmlformats.org/officeDocument/2006/docPropsVTypes"/>
</file>