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عائشة
</w:t>
      </w:r>
    </w:p>
    <w:p>
      <w:pPr>
        <w:jc w:val="start"/>
        <w:bidi/>
      </w:pPr>
      <w:r>
        <w:rPr>
          <w:rFonts w:ascii="arial" w:hAnsi="arial" w:eastAsia="arial" w:cs="arial"/>
          <w:sz w:val="28"/>
          <w:szCs w:val="28"/>
          <w:b w:val="1"/>
          <w:bCs w:val="1"/>
          <w:rtl/>
        </w:rPr>
        <w:t xml:space="preserve">ابن عائشة
</w:t>
      </w:r>
    </w:p>
    <w:p>
      <w:pPr/>
      <w:r>
        <w:rPr/>
        <w:t xml:space="preserve">ابن عائشة  محمد بن عائشة، ابو جعفر: موسيقار. من المقدمين في صناعة الغناء ووضع الالحان، في العصر الاموي، يرتجل ذلك ارتجالا. وهو من أهل المدينة، ينسب إلى امه، وكانت مولاة لاحد بني كندة. ويضرب المثل في ابتدائه بالغناء حتى قيل لابتداء الحسن كائنل ما كان، من قراءة قرآن او انشاء شعر، او غناء: كانه ابتداء ابن عائشة. </w:t>
      </w:r>
    </w:p>
    <w:p>
      <w:pPr>
        <w:jc w:val="start"/>
        <w:bidi/>
      </w:pPr>
      <w:r>
        <w:rPr>
          <w:sz w:val="24"/>
          <w:szCs w:val="24"/>
          <w:b w:val="1"/>
          <w:bCs w:val="1"/>
          <w:rtl/>
        </w:rPr>
        <w:t xml:space="preserve">
الأعلام،(دار العلم للملايين - بيروت،2002،ط 15،ج 6،ص 179)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2026-07-27T17:04:37+03:00</dcterms:created>
  <dcterms:modified xsi:type="dcterms:W3CDTF">2026-07-27T17:04:37+03:00</dcterms:modified>
</cp:coreProperties>
</file>

<file path=docProps/custom.xml><?xml version="1.0" encoding="utf-8"?>
<Properties xmlns="http://schemas.openxmlformats.org/officeDocument/2006/custom-properties" xmlns:vt="http://schemas.openxmlformats.org/officeDocument/2006/docPropsVTypes"/>
</file>