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w:t>
      </w:r>
    </w:p>
    <w:p>
      <w:pPr>
        <w:jc w:val="start"/>
        <w:bidi/>
      </w:pPr>
      <w:r>
        <w:rPr>
          <w:rFonts w:ascii="arial" w:hAnsi="arial" w:eastAsia="arial" w:cs="arial"/>
          <w:sz w:val="28"/>
          <w:szCs w:val="28"/>
          <w:b w:val="1"/>
          <w:bCs w:val="1"/>
          <w:rtl/>
        </w:rPr>
        <w:t xml:space="preserve">المكي
</w:t>
      </w:r>
    </w:p>
    <w:p>
      <w:pPr/>
      <w:r>
        <w:rPr/>
        <w:t xml:space="preserve">المكي  محمد الطيب بن محمد صالح بن محمد عبد الله العلوي، المكي ثم الهندي : عالم بالعربية والمنطق، له نظم وتآليف. ولد بمكة، ونشأ في (لامو) بشرقي إفريقية (البريطانية) ورجع إلى مكة فتعلم بها. وقصد الهند، فقرأ على علماء (رامفور) وتولى التدريس في مدرستها الحكومية العالية. وتوفي بها. وكان سلفي العقيدة. اشتهر في الهند بلقب (عرب صاحب) وألف كتبا، منها (المكالمة في اللغة العربية الدارجة بمكة المكرمة - ط) و (الاحاجي النحوية الحامدية - ط) و (النفحة الاجملية في الصلات الفعلية - ط) في اللغة، و (حاشية على المفصل - ط) و (حاشية على الشمسية - ط) و (الملاطفة - ط) في الرد على المقلدين. </w:t>
      </w:r>
    </w:p>
    <w:p>
      <w:pPr>
        <w:jc w:val="start"/>
        <w:bidi/>
      </w:pPr>
      <w:r>
        <w:rPr>
          <w:sz w:val="24"/>
          <w:szCs w:val="24"/>
          <w:b w:val="1"/>
          <w:bCs w:val="1"/>
          <w:rtl/>
        </w:rPr>
        <w:t xml:space="preserve">
الأعلام،(دار العلم للملايين - بيروت،2002،ط 15،ج 6،ص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2026-10-04T12:29:48+03:00</dcterms:created>
  <dcterms:modified xsi:type="dcterms:W3CDTF">2026-10-04T12:29:48+03:00</dcterms:modified>
</cp:coreProperties>
</file>

<file path=docProps/custom.xml><?xml version="1.0" encoding="utf-8"?>
<Properties xmlns="http://schemas.openxmlformats.org/officeDocument/2006/custom-properties" xmlns:vt="http://schemas.openxmlformats.org/officeDocument/2006/docPropsVTypes"/>
</file>