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المريني
</w:t>
      </w:r>
    </w:p>
    <w:p>
      <w:pPr>
        <w:jc w:val="start"/>
        <w:bidi/>
      </w:pPr>
      <w:r>
        <w:rPr>
          <w:rFonts w:ascii="arial" w:hAnsi="arial" w:eastAsia="arial" w:cs="arial"/>
          <w:sz w:val="28"/>
          <w:szCs w:val="28"/>
          <w:b w:val="1"/>
          <w:bCs w:val="1"/>
          <w:rtl/>
        </w:rPr>
        <w:t xml:space="preserve">المريني
</w:t>
      </w:r>
    </w:p>
    <w:p>
      <w:pPr/>
      <w:r>
        <w:rPr/>
        <w:t xml:space="preserve">المريني  محمد الطيب بن مسعود بن أحمد المريني : أديب متصوف، له نظم. من أهل فاس. كان كاتبا للسلطان المولى اسماعيل، وولاه نقابة الاشراف بالمغرب. ثم تغير عليه السلطان وأمر بقتله، فأخفاه الوزير عبد الله الروسي، وأوهم السلطان أنه قتله. ولما مات السلطان أظهر نفسه، فولاه أهل فاس الحسبة، فقام بها مدة وعزل نفسه. وتوفي بفاس، عن سن عالية. له كتب، منها (تبصرة العاقل وتذكرة الغافل - خ) في خزانة ابن يوسف بمراكش (الرقم 240 ح) وفي الرباط (1384 د) و (805 جلا) رتبه على 15 بابا، و (المقصد المحمود) ضمنه قصائد من نظمه، واستفتحه برسالة نبوية، وأرجوزة في المهم من الديانات سماها (الاربعينية في الاحكام الدينية). </w:t>
      </w:r>
    </w:p>
    <w:p>
      <w:pPr>
        <w:jc w:val="start"/>
        <w:bidi/>
      </w:pPr>
      <w:r>
        <w:rPr>
          <w:sz w:val="24"/>
          <w:szCs w:val="24"/>
          <w:b w:val="1"/>
          <w:bCs w:val="1"/>
          <w:rtl/>
        </w:rPr>
        <w:t xml:space="preserve">
الأعلام،(دار العلم للملايين - بيروت،2002،ط 15،ج 6،ص 177)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2026-10-04T11:44:15+03:00</dcterms:created>
  <dcterms:modified xsi:type="dcterms:W3CDTF">2026-10-04T11:44:15+03:00</dcterms:modified>
</cp:coreProperties>
</file>

<file path=docProps/custom.xml><?xml version="1.0" encoding="utf-8"?>
<Properties xmlns="http://schemas.openxmlformats.org/officeDocument/2006/custom-properties" xmlns:vt="http://schemas.openxmlformats.org/officeDocument/2006/docPropsVTypes"/>
</file>