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الصالح ابن ططر
</w:t>
      </w:r>
    </w:p>
    <w:p>
      <w:pPr>
        <w:jc w:val="start"/>
        <w:bidi/>
      </w:pPr>
      <w:r>
        <w:rPr>
          <w:rFonts w:ascii="arial" w:hAnsi="arial" w:eastAsia="arial" w:cs="arial"/>
          <w:sz w:val="28"/>
          <w:szCs w:val="28"/>
          <w:b w:val="1"/>
          <w:bCs w:val="1"/>
          <w:rtl/>
        </w:rPr>
        <w:t xml:space="preserve">الصالح ابن ططر
</w:t>
      </w:r>
    </w:p>
    <w:p>
      <w:pPr/>
      <w:r>
        <w:rPr/>
        <w:t xml:space="preserve">الصالح ابن ططر  محمد (الملك الصالح) ابن ططر (الملك الظاهر) الجركسي، ناصر الدين: من ملوك دولة الجراكسة بمصر والشام. بويع بالسلطنة، في القاهرة، بعد وفاة ابيه (سنة 824هـ) وكان صغيرا فقام بتدبير المملكة الاتابكي جاني بك الصوفي، ثم الامير برسباي الدقماقي. وقويت شوكة برسباي، فخلع ابن ططر (سنة 825) فكانت مدة سلطنته ثلاثة اشهر و 14 يوما. ولم يسء اليه، بل ادخله دور الحرم وسمح له بالخروج يوما في الجمعة، وزوجه، فاستمر إلى ان توفي بالطاعون. </w:t>
      </w:r>
    </w:p>
    <w:p>
      <w:pPr>
        <w:jc w:val="start"/>
        <w:bidi/>
      </w:pPr>
      <w:r>
        <w:rPr>
          <w:sz w:val="24"/>
          <w:szCs w:val="24"/>
          <w:b w:val="1"/>
          <w:bCs w:val="1"/>
          <w:rtl/>
        </w:rPr>
        <w:t xml:space="preserve">
الأعلام،(دار العلم للملايين - بيروت،2002،ط 15،ج 6،ص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2026-10-04T11:52:51+03:00</dcterms:created>
  <dcterms:modified xsi:type="dcterms:W3CDTF">2026-10-04T11:52:51+03:00</dcterms:modified>
</cp:coreProperties>
</file>

<file path=docProps/custom.xml><?xml version="1.0" encoding="utf-8"?>
<Properties xmlns="http://schemas.openxmlformats.org/officeDocument/2006/custom-properties" xmlns:vt="http://schemas.openxmlformats.org/officeDocument/2006/docPropsVTypes"/>
</file>