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سالم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سالم النصيبي
</w:t>
      </w:r>
    </w:p>
    <w:p>
      <w:pPr/>
      <w:r>
        <w:rPr/>
        <w:t xml:space="preserve">أبو سالم النصيبي  محمد بن طلحة بن محمد بن الحسن، كمال الدين القريشي النصيبي العدوي الشافعي، ابو سالم: وزير من الادباء الكتاب. ولد بالعمرية (من قرى نصيبين) ورحل إلى نيسابور، وولي الوزارة بدمشق، ثم تركها وتزهد وتوفي بحلب. له (العقد الفريد للملك السعيد -ط) و (مطالب السول في مناقب آل الرسول -ط) و (الدر المنظم في السر الاعظم -خ) و (مفتاح في اعتقاد أهل الصلاح -خ) تصوف، و (نفائس العناصر لمجالس الملك الناصر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2026-10-04T11:49:49+03:00</dcterms:created>
  <dcterms:modified xsi:type="dcterms:W3CDTF">2026-10-04T11:49:49+03:00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