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العاني
</w:t>
      </w:r>
    </w:p>
    <w:p>
      <w:pPr>
        <w:jc w:val="start"/>
        <w:bidi/>
      </w:pPr>
      <w:r>
        <w:rPr>
          <w:rFonts w:ascii="arial" w:hAnsi="arial" w:eastAsia="arial" w:cs="arial"/>
          <w:sz w:val="28"/>
          <w:szCs w:val="28"/>
          <w:b w:val="1"/>
          <w:bCs w:val="1"/>
          <w:rtl/>
        </w:rPr>
        <w:t xml:space="preserve">العاني
</w:t>
      </w:r>
    </w:p>
    <w:p>
      <w:pPr/>
      <w:r>
        <w:rPr/>
        <w:t xml:space="preserve">العاني  محمد شفيق العاني : عالم بالقانون، من أعضاء المجمع العلمي العراقي. ولد في بلدة عانة (الانبار) وتعلم في كلية الامام الاعظم ببغداد. ودرس الحقوق وعمل في المحاماة. ثم انتقل إلى سلك القضاء، فكان رئيس محكمة التمييز. وألقى محاضرات في كليتي الحقوق والشريعة بجامعة بغداد، وفي معهد الدراسات العربية بالقاهرة. وصنف كتبا، منها (أحكام الاوقاف - ط) و (أصول المرافعات والصكوك في القضاء الشرعي - ط) و (حول توحيد المصطلحات القانونية في البلاد العربية - ط) و (الفقه الاسلامي ومشروع القانون المدني الموحد في البلاد العربية - ط) و (البلاد العربية - ط) من محاضراته. </w:t>
      </w:r>
    </w:p>
    <w:p>
      <w:pPr>
        <w:jc w:val="start"/>
        <w:bidi/>
      </w:pPr>
      <w:r>
        <w:rPr>
          <w:sz w:val="24"/>
          <w:szCs w:val="24"/>
          <w:b w:val="1"/>
          <w:bCs w:val="1"/>
          <w:rtl/>
        </w:rPr>
        <w:t xml:space="preserve">
الأعلام،(دار العلم للملايين - بيروت،2002،ط 15،ج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2026-10-04T08:48:31+03:00</dcterms:created>
  <dcterms:modified xsi:type="dcterms:W3CDTF">2026-10-04T08:48:31+03:00</dcterms:modified>
</cp:coreProperties>
</file>

<file path=docProps/custom.xml><?xml version="1.0" encoding="utf-8"?>
<Properties xmlns="http://schemas.openxmlformats.org/officeDocument/2006/custom-properties" xmlns:vt="http://schemas.openxmlformats.org/officeDocument/2006/docPropsVTypes"/>
</file>