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أحمد
</w:t>
      </w:r>
    </w:p>
    <w:p>
      <w:pPr>
        <w:jc w:val="start"/>
        <w:bidi/>
      </w:pPr>
      <w:r>
        <w:rPr>
          <w:rFonts w:ascii="arial" w:hAnsi="arial" w:eastAsia="arial" w:cs="arial"/>
          <w:sz w:val="28"/>
          <w:szCs w:val="28"/>
          <w:b w:val="1"/>
          <w:bCs w:val="1"/>
          <w:rtl/>
        </w:rPr>
        <w:t xml:space="preserve">محمد بن عبد الرحمن بن محمد بن أحمد
</w:t>
      </w:r>
    </w:p>
    <w:p>
      <w:pPr/>
      <w:r>
        <w:rPr/>
        <w:t xml:space="preserve">محمد بن عبد الرحمن بن محمد بن أحمد بن محمد بن جعفر أبو سعيد النيسابوري الكنجروذي الفقيه الأديب النحوي الطبيب الفارسي: شيخ مشهور، أدرك الأسانيد العالية في الحديث والأدب، وله شعر. توفي في صفر سنة ثلاث وخمسين وأربعمائة، وكانت له يد في الطب والفروسية وأدب السلاح، وحدث سنين وسمع منه خلق كثير، وجرت بينه وبين أبي جعفر الزوزني البحاثي محاورات أدت إلى وحشة، فرماه بأشياء.</w:t>
      </w:r>
    </w:p>
    <w:p>
      <w:pPr>
        <w:jc w:val="start"/>
        <w:bidi/>
      </w:pPr>
      <w:r>
        <w:rPr>
          <w:sz w:val="24"/>
          <w:szCs w:val="24"/>
          <w:b w:val="1"/>
          <w:bCs w:val="1"/>
          <w:rtl/>
        </w:rPr>
        <w:t xml:space="preserve">
معجم الأدباء / إرشاد الأريب إلى معرفة الأديب،(دار الغرب الإسلامي - بيروت،1993،ط 0،ج 6،ص 2550)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2026-07-28T19:50:03+03:00</dcterms:created>
  <dcterms:modified xsi:type="dcterms:W3CDTF">2026-07-28T19:50:03+03:00</dcterms:modified>
</cp:coreProperties>
</file>

<file path=docProps/custom.xml><?xml version="1.0" encoding="utf-8"?>
<Properties xmlns="http://schemas.openxmlformats.org/officeDocument/2006/custom-properties" xmlns:vt="http://schemas.openxmlformats.org/officeDocument/2006/docPropsVTypes"/>
</file>