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جعفر بن خذيان بن حامس أبو محمد الفرغاني
</w:t>
      </w:r>
    </w:p>
    <w:p>
      <w:pPr>
        <w:jc w:val="start"/>
        <w:bidi/>
      </w:pPr>
      <w:r>
        <w:rPr>
          <w:rFonts w:ascii="arial" w:hAnsi="arial" w:eastAsia="arial" w:cs="arial"/>
          <w:sz w:val="28"/>
          <w:szCs w:val="28"/>
          <w:b w:val="1"/>
          <w:bCs w:val="1"/>
          <w:rtl/>
        </w:rPr>
        <w:t xml:space="preserve">عبد الله بن أحمد بن جعفر بن خذيان بن حامس أبو محمد الفرغاني
</w:t>
      </w:r>
    </w:p>
    <w:p>
      <w:pPr/>
      <w:r>
        <w:rPr/>
        <w:t xml:space="preserve">عبد الله بن أحمد بن جعفر بن خذيان بن حامس أبو محمد الفرغاني  الأمير القائد، صاحب أبي جعفر الطبري: مات بمصر سنة اثنتين وستين وثلاثمائة. روي عن أبي جعفر الطبري وذيل على تاريخ الطبري. وقدم دمشق، وحدث بها، وروى عنه جماعة من أهلها، وجده خذيان جلب من فرغانة إلى المعتصم فأسلم، ونزل عبد الله مصر، وحدث بها، وكان ثقة، وأرسله الراضي إلى مصر، وحمله الخلع</w:t>
      </w:r>
    </w:p>
    <w:p/>
    <w:p>
      <w:pPr/>
      <w:r>
        <w:rPr/>
        <w:t xml:space="preserve">إلى أبي بكر محمد بن طغج الإخشيد، وتفسير طغج عبد الرحمن، وكان ابن طغج يحب الطيب حبا مفرطا حتى كانت خزانة طيبه على نيف وخمسين جملا.</w:t>
      </w:r>
    </w:p>
    <w:p>
      <w:pPr>
        <w:jc w:val="start"/>
        <w:bidi/>
      </w:pPr>
      <w:r>
        <w:rPr>
          <w:sz w:val="24"/>
          <w:szCs w:val="24"/>
          <w:b w:val="1"/>
          <w:bCs w:val="1"/>
          <w:rtl/>
        </w:rPr>
        <w:t xml:space="preserve">
معجم الأدباء / إرشاد الأريب إلى معرفة الأديب،(دار الغرب الإسلامي - بيروت،1993،ط 0،ج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الفرغاني
</w:t>
      </w:r>
    </w:p>
    <w:p>
      <w:pPr/>
      <w:r>
        <w:rPr/>
        <w:t xml:space="preserve">الفرغاني الأمير العالم، أبو محمد، عبد الله بن أحمد بن جعفر بن خذيان التركي الفرغاني، صاحب التاريخ المذيل على تاريخ محمد بن جرير الطبري.</w:t>
      </w:r>
    </w:p>
    <w:p/>
    <w:p>
      <w:pPr/>
      <w:r>
        <w:rPr/>
        <w:t xml:space="preserve">حدث بدمشق عن ابن جرير، وعلي بن الحسن بن سليمان، وغيرهما.</w:t>
      </w:r>
    </w:p>
    <w:p/>
    <w:p>
      <w:pPr/>
      <w:r>
        <w:rPr/>
        <w:t xml:space="preserve">روى عنه أبو الفتح بن مسرور، وأبو سليمان بن زبر، والدارقطني، وعبد الغني، وتمام الرازي.</w:t>
      </w:r>
    </w:p>
    <w:p/>
    <w:p>
      <w:pPr/>
      <w:r>
        <w:rPr/>
        <w:t xml:space="preserve">وثقه ابن مسرور، قال يحيى بن الطحان: مات في جمادى الأولى سنة اثنتين وستين وثلاث مائة.</w:t>
      </w:r>
    </w:p>
    <w:p>
      <w:pPr>
        <w:jc w:val="start"/>
        <w:bidi/>
      </w:pPr>
      <w:r>
        <w:rPr>
          <w:sz w:val="24"/>
          <w:szCs w:val="24"/>
          <w:b w:val="1"/>
          <w:bCs w:val="1"/>
          <w:rtl/>
        </w:rPr>
        <w:t xml:space="preserve">
سير أعلام النبلاء،(دار الحديث- القاهرة،2006،ط 0،ج 12،ص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2026-07-29T07:30:32+03:00</dcterms:created>
  <dcterms:modified xsi:type="dcterms:W3CDTF">2026-07-29T07:30:32+03:00</dcterms:modified>
</cp:coreProperties>
</file>

<file path=docProps/custom.xml><?xml version="1.0" encoding="utf-8"?>
<Properties xmlns="http://schemas.openxmlformats.org/officeDocument/2006/custom-properties" xmlns:vt="http://schemas.openxmlformats.org/officeDocument/2006/docPropsVTypes"/>
</file>