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أحمد بن علي بن هبة الله بن المأمون الهاشمي البغدادي
</w:t>
      </w:r>
    </w:p>
    <w:p>
      <w:pPr>
        <w:jc w:val="start"/>
        <w:bidi/>
      </w:pPr>
      <w:r>
        <w:rPr>
          <w:rFonts w:ascii="arial" w:hAnsi="arial" w:eastAsia="arial" w:cs="arial"/>
          <w:sz w:val="28"/>
          <w:szCs w:val="28"/>
          <w:b w:val="1"/>
          <w:bCs w:val="1"/>
          <w:rtl/>
        </w:rPr>
        <w:t xml:space="preserve">عبد الله بن أحمد بن علي بن هبة الله بن المأمون الهاشمي البغدادي
</w:t>
      </w:r>
    </w:p>
    <w:p>
      <w:pPr/>
      <w:r>
        <w:rPr/>
        <w:t xml:space="preserve">عبد الله بن أحمد بن علي بن هبة الله بن المأمون الهاشمي البغدادي القاضي الأديب، قوام الدين:</w:t>
      </w:r>
    </w:p>
    <w:p/>
    <w:p>
      <w:pPr/>
      <w:r>
        <w:rPr/>
        <w:t xml:space="preserve">«اجتمعت به ببغداد سنة اثنتي عشرة وستمائة. وسمع كتاب الجمهرة لابن دريد عن أبي المعالي أحمد بن عبد الغني بن حنيفة الباجسري بروايته عن ثابت بن إبراهيم البقال عن ابن رزمة. وله أشعار حسنة فصيحة» وكانت وفاته بمدينة السلام في المحرم سنة عشرين وستمائة .</w:t>
      </w:r>
    </w:p>
    <w:p>
      <w:pPr>
        <w:jc w:val="start"/>
        <w:bidi/>
      </w:pPr>
      <w:r>
        <w:rPr>
          <w:sz w:val="24"/>
          <w:szCs w:val="24"/>
          <w:b w:val="1"/>
          <w:bCs w:val="1"/>
          <w:rtl/>
        </w:rPr>
        <w:t xml:space="preserve">
معجم الأدباء / إرشاد الأريب إلى معرفة الأديب،(دار الغرب الإسلامي - بيروت،1993،ط 0،ج 4،ص 1490)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2026-07-28T08:13:34+03:00</dcterms:created>
  <dcterms:modified xsi:type="dcterms:W3CDTF">2026-07-28T08:13:34+03:00</dcterms:modified>
</cp:coreProperties>
</file>

<file path=docProps/custom.xml><?xml version="1.0" encoding="utf-8"?>
<Properties xmlns="http://schemas.openxmlformats.org/officeDocument/2006/custom-properties" xmlns:vt="http://schemas.openxmlformats.org/officeDocument/2006/docPropsVTypes"/>
</file>