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الوليد بن محمد
</w:t>
      </w:r>
    </w:p>
    <w:p>
      <w:pPr>
        <w:jc w:val="start"/>
        <w:bidi/>
      </w:pPr>
      <w:r>
        <w:rPr>
          <w:rFonts w:ascii="arial" w:hAnsi="arial" w:eastAsia="arial" w:cs="arial"/>
          <w:sz w:val="28"/>
          <w:szCs w:val="28"/>
          <w:b w:val="1"/>
          <w:bCs w:val="1"/>
          <w:rtl/>
        </w:rPr>
        <w:t xml:space="preserve">أحمد بن محمد بن الوليد بن محمد
</w:t>
      </w:r>
    </w:p>
    <w:p>
      <w:pPr/>
      <w:r>
        <w:rPr/>
        <w:t xml:space="preserve">أحمد بن محمد بن الوليد بن محمد  يعرف بولاد: من أهل بيت علم، ولأبيه وجده ذكر في هذا الكتاب وتراجم في مواضعها، وكنية أحمد هذا أبو العباس، مات فيما ذكره الزبيدي في كتابه سنة اثنتين وثلاثمائة. قال: وكان بصيرا بالنحو أستاذا فيه، ورحل إلى بغداد من موطنه مصر، ولقي إبراهيم الزجاج وغيره، وكان الزجاج يفضله ويقدمه على أبي جعفر النحاس، وكانا جميعا تلميذيه. وكان الزجاج لا يزال يثني عليه عند كل من قدم إلى بغداد من مصر، ويقول لهم: لي عندكم تلميذ من حاله وصفته كذا، فيقال له: أبو جعفر النحاس، فيقول: بل أبو العباس ابن ولاد.</w:t>
      </w:r>
    </w:p>
    <w:p/>
    <w:p>
      <w:pPr/>
      <w:r>
        <w:rPr/>
        <w:t xml:space="preserve">قال: وجمع بعض ملوك مصر بين ابن ولاد وابن النحاس وأمرهما بالمناظرة، فقال ابن النحاس لابن ولاد: كيف تبني مثال افعلوت من رميت فقال ابن ولاد: أقول ارمييت، فخطأه أبو جعفر وقال: ليس في كلام العرب افعلوت ولا افعليت، فقال أبو العباس: إنما سألتني أن أمثل لك بناء ففعلت وإنما تغفله أبو جعفر بذلك.</w:t>
      </w:r>
    </w:p>
    <w:p/>
    <w:p>
      <w:pPr/>
      <w:r>
        <w:rPr/>
        <w:t xml:space="preserve">قال الزبيدي: ولقد أحسن في قياسه حين قلب الواو ياء، وقد كان أبو الحسن سعيد بن مسعدة الأخفش يبني من الأمثلة ما لا مثال له في كلام العرب.</w:t>
      </w:r>
    </w:p>
    <w:p/>
    <w:p>
      <w:pPr/>
      <w:r>
        <w:rPr/>
        <w:t xml:space="preserve">وله كتاب المقصور والممدود. وكتاب الانتصار لسيبويه فيما ذكره المبرد.</w:t>
      </w:r>
    </w:p>
    <w:p>
      <w:pPr>
        <w:jc w:val="start"/>
        <w:bidi/>
      </w:pPr>
      <w:r>
        <w:rPr>
          <w:sz w:val="24"/>
          <w:szCs w:val="24"/>
          <w:b w:val="1"/>
          <w:bCs w:val="1"/>
          <w:rtl/>
        </w:rPr>
        <w:t xml:space="preserve">
معجم الأدباء / إرشاد الأريب إلى معرفة الأديب،(دار الغرب الإسلامي - بيروت،1993،ط 0،ج 1،ص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الوليد بن ولاد المصري
</w:t>
      </w:r>
    </w:p>
    <w:p>
      <w:pPr/>
      <w:r>
        <w:rPr/>
        <w:t xml:space="preserve">أحمد بن محمد بن الوليد بن ولاد المصري </w:t>
      </w:r>
    </w:p>
    <w:p/>
    <w:p>
      <w:pPr/>
      <w:r>
        <w:rPr/>
        <w:t xml:space="preserve">له كتاب ’’ المقصور والممدود ’’ على ترتيب حروف المعجم.</w:t>
      </w:r>
    </w:p>
    <w:p/>
    <w:p>
      <w:pPr/>
      <w:r>
        <w:rPr/>
        <w:t xml:space="preserve">توفي سنة اثنتين وثلاثمائة.</w:t>
      </w:r>
    </w:p>
    <w:p/>
    <w:p>
      <w:pPr/>
      <w:r>
        <w:rPr/>
        <w:t xml:space="preserve">قبل هؤلاء الطبقة المذكورة، أصحاب المبرد.</w:t>
      </w:r>
    </w:p>
    <w:p/>
    <w:p>
      <w:pPr/>
      <w:r>
        <w:rPr/>
        <w:t xml:space="preserve">منهم:</w:t>
      </w:r>
    </w:p>
    <w:p>
      <w:pPr>
        <w:jc w:val="start"/>
        <w:bidi/>
      </w:pPr>
      <w:r>
        <w:rPr>
          <w:sz w:val="24"/>
          <w:szCs w:val="24"/>
          <w:b w:val="1"/>
          <w:bCs w:val="1"/>
          <w:rtl/>
        </w:rPr>
        <w:t xml:space="preserve">
تاريخ العلماء النحويين،(هجر للطباعة والنشر والتوزيع والإعلان، القاهرة - مصر،1992،ط 2،ج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الوليد
</w:t>
      </w:r>
    </w:p>
    <w:p>
      <w:pPr/>
      <w:r>
        <w:rPr/>
        <w:t xml:space="preserve">أحمد بن محمد بن الوليد </w:t>
      </w:r>
    </w:p>
    <w:p/>
    <w:p>
      <w:pPr/>
      <w:r>
        <w:rPr/>
        <w:t xml:space="preserve">والوليد يعرف بولاد. بصري الأصل. وانتقل جده إلى مصر، وهو وأبوه وجده مشهورون بالعربية. سمع على الزجاج وطبقته بالعراق، وعاد إلى مصر، وصنف ’’الانتصار لسيبويه على المبرد’’، وله مع النحاس مناظرات مات سنة 332 </w:t>
      </w:r>
    </w:p>
    <w:p>
      <w:pPr>
        <w:jc w:val="start"/>
        <w:bidi/>
      </w:pPr>
      <w:r>
        <w:rPr>
          <w:sz w:val="24"/>
          <w:szCs w:val="24"/>
          <w:b w:val="1"/>
          <w:bCs w:val="1"/>
          <w:rtl/>
        </w:rPr>
        <w:t xml:space="preserve">
البلغة فى تراجم أئمة النحو واللغة،(جمعية إحياء التراث الإسلامي - الكويت،1986،ط 1،ج 1،ص 8)/(دار سعد الدين للطباعة والنشر والتوزيع،2000،ط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الوليد بن محمد يعرف بولاد 
</w:t>
      </w:r>
    </w:p>
    <w:p>
      <w:pPr/>
      <w:r>
        <w:rPr/>
        <w:t xml:space="preserve">أحمد بن محمد بن الوليد بن محمد، يعرف بولاّد. </w:t>
      </w:r>
    </w:p>
    <w:p/>
    <w:p>
      <w:pPr/>
      <w:r>
        <w:rPr/>
        <w:t xml:space="preserve">كان بصيرا بالنّحو. ورد بغداد ولقي الزجّاج، وكان يفضّله على أبي جعفر النّحّاس، ويثني عليه بالحذق. وله: كتاب المقصور والممدود، وكتاب الانتصار لسيبويه فيما ردّه المبرّد عليه.</w:t>
      </w:r>
    </w:p>
    <w:p/>
    <w:p>
      <w:pPr/>
      <w:r>
        <w:rPr/>
        <w:t xml:space="preserve">ومات سنة اثنتين وثلاث مائة.</w:t>
      </w:r>
    </w:p>
    <w:p>
      <w:pPr>
        <w:jc w:val="start"/>
        <w:bidi/>
      </w:pPr>
      <w:r>
        <w:rPr>
          <w:sz w:val="24"/>
          <w:szCs w:val="24"/>
          <w:b w:val="1"/>
          <w:bCs w:val="1"/>
          <w:rtl/>
        </w:rPr>
        <w:t xml:space="preserve">
الدر الثمين في أسماء المصنفين،(دار الغرب الإسلامي - تونس،2009،ط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2026-07-28T16:25:46+03:00</dcterms:created>
  <dcterms:modified xsi:type="dcterms:W3CDTF">2026-07-28T16:25:46+03:00</dcterms:modified>
</cp:coreProperties>
</file>

<file path=docProps/custom.xml><?xml version="1.0" encoding="utf-8"?>
<Properties xmlns="http://schemas.openxmlformats.org/officeDocument/2006/custom-properties" xmlns:vt="http://schemas.openxmlformats.org/officeDocument/2006/docPropsVTypes"/>
</file>