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الأغلبي
</w:t>
      </w:r>
    </w:p>
    <w:p>
      <w:pPr>
        <w:jc w:val="start"/>
        <w:bidi/>
      </w:pPr>
      <w:r>
        <w:rPr>
          <w:rFonts w:ascii="arial" w:hAnsi="arial" w:eastAsia="arial" w:cs="arial"/>
          <w:sz w:val="28"/>
          <w:szCs w:val="28"/>
          <w:b w:val="1"/>
          <w:bCs w:val="1"/>
          <w:rtl/>
        </w:rPr>
        <w:t xml:space="preserve">الأغلبي
</w:t>
      </w:r>
    </w:p>
    <w:p>
      <w:pPr/>
      <w:r>
        <w:rPr/>
        <w:t xml:space="preserve">الأغلبي  أحمد بن محمد بن الأغلب بن إبراهيم ابن الأغلب التميمي، أبو إبراهيم: سابع الأغالبة أصحاب تونس وإفريقية. ولى بعد رفاة عمه أبي العباس (محمد بن الأغلب) سنة 242هـ. وكان حسن السيرة، محبا للعمران، رفيقا بالرعية. بلغ ما بناه من الحصون بافريقية نحو عشرة آلاف حصن، بالحجارة والكلس وأبواب الحديد. وزاد في جامع القيروان ومسجد تونس. وبنى سور سوسة (سنة245) وفي أيامه فتحت قصريانةCastrogiovanni من مدن صقلية، فبعث بفتحها إلى المتوكل العباسي. وتوفى بتونس. مدة ولايته 7 سنين و10 أشهر و15 يوما. ولم يكن في عهده ثائر يزعجه. </w:t>
      </w:r>
    </w:p>
    <w:p>
      <w:pPr>
        <w:jc w:val="start"/>
        <w:bidi/>
      </w:pPr>
      <w:r>
        <w:rPr>
          <w:sz w:val="24"/>
          <w:szCs w:val="24"/>
          <w:b w:val="1"/>
          <w:bCs w:val="1"/>
          <w:rtl/>
        </w:rPr>
        <w:t xml:space="preserve">
الأعلام،(دار العلم للملايين - بيروت،2002،ط 15،ج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2026-09-18T11:45:23+03:00</dcterms:created>
  <dcterms:modified xsi:type="dcterms:W3CDTF">2026-09-18T11:45:23+03:00</dcterms:modified>
</cp:coreProperties>
</file>

<file path=docProps/custom.xml><?xml version="1.0" encoding="utf-8"?>
<Properties xmlns="http://schemas.openxmlformats.org/officeDocument/2006/custom-properties" xmlns:vt="http://schemas.openxmlformats.org/officeDocument/2006/docPropsVTypes"/>
</file>