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منصور المتكلم
</w:t>
      </w:r>
    </w:p>
    <w:p>
      <w:pPr>
        <w:jc w:val="start"/>
        <w:bidi/>
      </w:pPr>
      <w:r>
        <w:rPr>
          <w:rFonts w:ascii="arial" w:hAnsi="arial" w:eastAsia="arial" w:cs="arial"/>
          <w:sz w:val="28"/>
          <w:szCs w:val="28"/>
          <w:b w:val="1"/>
          <w:bCs w:val="1"/>
          <w:rtl/>
        </w:rPr>
        <w:t xml:space="preserve">أبو منصور المتكلم
</w:t>
      </w:r>
    </w:p>
    <w:p>
      <w:pPr/>
      <w:r>
        <w:rPr/>
        <w:t xml:space="preserve">أبو منصور المتكلم هبة الله بن محمد بن عبد الملك بن النقاش أبو منصور المتكلم البغدادي، كان فاضلا حفظة للحكايات والأشعار سمع محمد بن علي بن سكينة الأنماطي وأبا علي ابن الشبل وغيرهما، وتوفي سنة تسع عشرة وخمسمائة. </w:t>
      </w:r>
    </w:p>
    <w:p/>
    <w:p>
      <w:pPr/>
      <w:r>
        <w:rPr/>
        <w:t xml:space="preserve">أبو الفضل الواسطي</w:t>
      </w:r>
    </w:p>
    <w:p/>
    <w:p>
      <w:pPr/>
      <w:r>
        <w:rPr/>
        <w:t xml:space="preserve">هبة الله بن محمد بن محمد بن عيسى بن جهور الرئيس أبو الفضل أخو القاضي أبي تغلب ابن جهور، قاضي واسط، توفي في نحو خمسمائة أو بعدها، وكان أديبا فاضلا شاعرا مكثرا، صحب أبا غالب ابن بشران وعنه أخذ النحو والأدب.</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2026-07-30T05:21:39+03:00</dcterms:created>
  <dcterms:modified xsi:type="dcterms:W3CDTF">2026-07-30T05:21:39+03:00</dcterms:modified>
</cp:coreProperties>
</file>

<file path=docProps/custom.xml><?xml version="1.0" encoding="utf-8"?>
<Properties xmlns="http://schemas.openxmlformats.org/officeDocument/2006/custom-properties" xmlns:vt="http://schemas.openxmlformats.org/officeDocument/2006/docPropsVTypes"/>
</file>