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فليتة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فليتة
</w:t>
      </w:r>
    </w:p>
    <w:p>
      <w:pPr/>
      <w:r>
        <w:rPr/>
        <w:t xml:space="preserve">ابن فليتة  أحمد بن محمد بن علي، أبو العباس ابن فليتة: كاتب أديب يمني. له (رشد اللبيب إلى معاشرة الحبيب - خ) في اسطنبول.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فليتة
</w:t>
      </w:r>
    </w:p>
    <w:p>
      <w:pPr/>
      <w:r>
        <w:rPr/>
        <w:t xml:space="preserve">ابن فليتة  أحمد بن محمد بن علي، أبو العباس شهاب الدين ابن فليتة الحكمي: كاتب الإنشاء في الدولة الرسولية. من أهل اليمن. كان في زمن الملك المجاهد علي بن داود. له (رشد اللبيب إلى معاشرة الحبيب - خ) في مكتبة الإسكندرية، مجون، و (سوق الفواكه ونزهة المتفاكه) ديوان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2026-07-28T12:39:41+03:00</dcterms:created>
  <dcterms:modified xsi:type="dcterms:W3CDTF">2026-07-28T12:39:41+03:00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