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خليفة
</w:t>
      </w:r>
    </w:p>
    <w:p>
      <w:pPr>
        <w:jc w:val="start"/>
        <w:bidi/>
      </w:pPr>
      <w:r>
        <w:rPr>
          <w:rFonts w:ascii="arial" w:hAnsi="arial" w:eastAsia="arial" w:cs="arial"/>
          <w:sz w:val="28"/>
          <w:szCs w:val="28"/>
          <w:b w:val="1"/>
          <w:bCs w:val="1"/>
          <w:rtl/>
        </w:rPr>
        <w:t xml:space="preserve">ابن خليفة
</w:t>
      </w:r>
    </w:p>
    <w:p>
      <w:pPr/>
      <w:r>
        <w:rPr/>
        <w:t xml:space="preserve">ابن خليفة  محمد بن خليفة العتبي العنزي الأسدي: من أمراء آل خليفة (أصحاب البحرين اليوم) كانت اقامته في الأفلاج (بنجد) وانتقل مع أبيه إلى الطويت. ولما توفي أبوه تولى زعامة قومه، وناوأه أمراء البصرة بنو كعب (وكانوا من الشيعة) فرحل برجاله من الكويت، ونزل بأرض ’’الزبارة’’من بر ’’قطر’’ بين القطيف وعمان، وهي على ساحل البحر مقابلة لجزيرة البحرين. واتفق أهلها على توليته امارتها، فبنى فيها قلعة ’’مرير’’ سنة 1182 هـ. واستمر إلى أن توفي فيها. وخلفه ابنه خليفة. </w:t>
      </w:r>
    </w:p>
    <w:p>
      <w:pPr>
        <w:jc w:val="start"/>
        <w:bidi/>
      </w:pPr>
      <w:r>
        <w:rPr>
          <w:sz w:val="24"/>
          <w:szCs w:val="24"/>
          <w:b w:val="1"/>
          <w:bCs w:val="1"/>
          <w:rtl/>
        </w:rPr>
        <w:t xml:space="preserve">
الأعلام،(دار العلم للملايين - بيروت،2002،ط 15،ج 6،ص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2026-10-04T02:11:38+03:00</dcterms:created>
  <dcterms:modified xsi:type="dcterms:W3CDTF">2026-10-04T02:11:38+03:00</dcterms:modified>
</cp:coreProperties>
</file>

<file path=docProps/custom.xml><?xml version="1.0" encoding="utf-8"?>
<Properties xmlns="http://schemas.openxmlformats.org/officeDocument/2006/custom-properties" xmlns:vt="http://schemas.openxmlformats.org/officeDocument/2006/docPropsVTypes"/>
</file>