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حمير
</w:t>
      </w:r>
    </w:p>
    <w:p>
      <w:pPr>
        <w:jc w:val="start"/>
        <w:bidi/>
      </w:pPr>
      <w:r>
        <w:rPr>
          <w:rFonts w:ascii="arial" w:hAnsi="arial" w:eastAsia="arial" w:cs="arial"/>
          <w:sz w:val="28"/>
          <w:szCs w:val="28"/>
          <w:b w:val="1"/>
          <w:bCs w:val="1"/>
          <w:rtl/>
        </w:rPr>
        <w:t xml:space="preserve">محمد بن حمير
</w:t>
      </w:r>
    </w:p>
    <w:p>
      <w:pPr/>
      <w:r>
        <w:rPr/>
        <w:t xml:space="preserve">محمد بن حمير  محمد بن حمير، جمال الدين: شاعر اليمن في عصره. لزم الملك المظفر (صاحب اليمن) حتى كان شاعره، وله فيه أماديح. ومات في زبيد. أشار بروكلمن إلى ’’قصيدتين’’مخطوطتين من نظمه و’’ رسالة –خ’’ من انشائه، يعتذر بها إلى ابن معيبد. </w:t>
      </w:r>
    </w:p>
    <w:p>
      <w:pPr>
        <w:jc w:val="start"/>
        <w:bidi/>
      </w:pPr>
      <w:r>
        <w:rPr>
          <w:sz w:val="24"/>
          <w:szCs w:val="24"/>
          <w:b w:val="1"/>
          <w:bCs w:val="1"/>
          <w:rtl/>
        </w:rPr>
        <w:t xml:space="preserve">
الأعلام،(دار العلم للملايين - بيروت،2002،ط 15،ج 6،ص 111)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2026-10-04T00:17:36+03:00</dcterms:created>
  <dcterms:modified xsi:type="dcterms:W3CDTF">2026-10-04T00:17:36+03:00</dcterms:modified>
</cp:coreProperties>
</file>

<file path=docProps/custom.xml><?xml version="1.0" encoding="utf-8"?>
<Properties xmlns="http://schemas.openxmlformats.org/officeDocument/2006/custom-properties" xmlns:vt="http://schemas.openxmlformats.org/officeDocument/2006/docPropsVTypes"/>
</file>