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الفناري
</w:t>
      </w:r>
    </w:p>
    <w:p>
      <w:pPr>
        <w:jc w:val="start"/>
        <w:bidi/>
      </w:pPr>
      <w:r>
        <w:rPr>
          <w:rFonts w:ascii="arial" w:hAnsi="arial" w:eastAsia="arial" w:cs="arial"/>
          <w:sz w:val="28"/>
          <w:szCs w:val="28"/>
          <w:b w:val="1"/>
          <w:bCs w:val="1"/>
          <w:rtl/>
        </w:rPr>
        <w:t xml:space="preserve">الفناري
</w:t>
      </w:r>
    </w:p>
    <w:p>
      <w:pPr/>
      <w:r>
        <w:rPr/>
        <w:t xml:space="preserve">الفناري  محمد بن حمزة بن محمد، شمس الدين الفناري (أو الفنري) الرومي: عالم بالمنطق والأصول. ولى قضاء بروسة. وارتفع قدره عند السلطان ’’بايزيد خان’’ وحج مرتين، زار في الأولى مصر (سنة 822) واجتمع بعلمائها، والثانية (سنة 833) شكرا لله على اعادة بصره اليه، وكان قد أشرف على العمى، أو عمي، وشفي. ومات بعد عودته من الحج. قال السيوطي: كان يعاب بنحلة ابن العربي وباقراء الفصوص. من كتبه ’’شرح ايساغوجي –ط’’ في المنطق، و’’عويصات الأفكار –خ’’ رسالة في العلوم القلية، و’’فصول البدائع في أصول الشرائع-ط’’ و’’أنموذج العلوم’’ و’’شرح الفرائض السراجية –خ’’ و’’تفسير الفاتحة-ط’’. </w:t>
      </w:r>
    </w:p>
    <w:p>
      <w:pPr>
        <w:jc w:val="start"/>
        <w:bidi/>
      </w:pPr>
      <w:r>
        <w:rPr>
          <w:sz w:val="24"/>
          <w:szCs w:val="24"/>
          <w:b w:val="1"/>
          <w:bCs w:val="1"/>
          <w:rtl/>
        </w:rPr>
        <w:t xml:space="preserve">
الأعلام،(دار العلم للملايين - بيروت،2002،ط 15،ج 6،ص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2026-10-04T00:16:06+03:00</dcterms:created>
  <dcterms:modified xsi:type="dcterms:W3CDTF">2026-10-04T00:16:06+03:00</dcterms:modified>
</cp:coreProperties>
</file>

<file path=docProps/custom.xml><?xml version="1.0" encoding="utf-8"?>
<Properties xmlns="http://schemas.openxmlformats.org/officeDocument/2006/custom-properties" xmlns:vt="http://schemas.openxmlformats.org/officeDocument/2006/docPropsVTypes"/>
</file>