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صاحب حماة
</w:t>
      </w:r>
    </w:p>
    <w:p>
      <w:pPr>
        <w:jc w:val="start"/>
        <w:bidi/>
      </w:pPr>
      <w:r>
        <w:rPr>
          <w:rFonts w:ascii="arial" w:hAnsi="arial" w:eastAsia="arial" w:cs="arial"/>
          <w:sz w:val="28"/>
          <w:szCs w:val="28"/>
          <w:b w:val="1"/>
          <w:bCs w:val="1"/>
          <w:rtl/>
        </w:rPr>
        <w:t xml:space="preserve">المظفر صاحب حماة
</w:t>
      </w:r>
    </w:p>
    <w:p>
      <w:pPr/>
      <w:r>
        <w:rPr/>
        <w:t xml:space="preserve">المظفر صاحب حماة محمود أبو الفتح بن محمد بن عمر بن شاهنشاه الملك المظفر تقي الدين بن الملك المنصور بن المظفر تقي الدين صاحب حماة. كانت دولته خمسا وعشرين سنة وسبعة أشهر. مرض بالفالج ثلاثين شهرا، ومات في جمادى الأولى سنة اثنتين وأربعين وست مائة، وملك بعده ولده المنصور محمد. وكان المظفر شجاعا إلى الغاية، لم يعهد في أهل بيته أشجع منه. وكان أبدا يحمل لتا من حديد على كتفه في ركوبه لا يقدر أحد على حمله. حضر حروبا كثيرة، وبين فيها الضرب. وقد تقدم ذكر والده المنصور محمد في المحمدين، ويأتي ذكر المظفر محمود حفيده بعده.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2026-07-29T11:53:58+03:00</dcterms:created>
  <dcterms:modified xsi:type="dcterms:W3CDTF">2026-07-29T11:53:58+03:00</dcterms:modified>
</cp:coreProperties>
</file>

<file path=docProps/custom.xml><?xml version="1.0" encoding="utf-8"?>
<Properties xmlns="http://schemas.openxmlformats.org/officeDocument/2006/custom-properties" xmlns:vt="http://schemas.openxmlformats.org/officeDocument/2006/docPropsVTypes"/>
</file>