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ركن الدين صاحب الروم
</w:t>
      </w:r>
    </w:p>
    <w:p>
      <w:pPr>
        <w:jc w:val="start"/>
        <w:bidi/>
      </w:pPr>
      <w:r>
        <w:rPr>
          <w:rFonts w:ascii="arial" w:hAnsi="arial" w:eastAsia="arial" w:cs="arial"/>
          <w:sz w:val="28"/>
          <w:szCs w:val="28"/>
          <w:b w:val="1"/>
          <w:bCs w:val="1"/>
          <w:rtl/>
        </w:rPr>
        <w:t xml:space="preserve">ركن الدين صاحب الروم
</w:t>
      </w:r>
    </w:p>
    <w:p>
      <w:pPr/>
      <w:r>
        <w:rPr/>
        <w:t xml:space="preserve">ركن الدين صاحب الروم كيقباذ السلطان ركن الدين بن السلطان غياث الدين كيخسرو بن الملك علاء الدين كيقباذ بن كيخسرو بن قلج أرسلان بن مسعود بن قليج رسلان بن سليمان بن قتلمش بن أتسز بن سلجوق بن دقاق صاحب الروم وابن ملوكها: كان كريما جوادا شجاعا، لكنه كان مقهورا تحت أوامر التتار. خنقته المغل بوتر وله ثمان وعشرون سنة لأن البرواناه عمل عليه وأوحى إلى المغل أنه يكاتب صاحب مصر. فاستفحل أمر البرواناه وعجز كيقباذ عنه، وجلس ولده غياث الدين كيخسرو في الملك وله عشر سنين، ثم توجه البرواناه إلى أبغا ومعه فرس كيقباذ وسلاحه وتقادمه، فوجد عنده صاحب سيس، فتكلم كل واحد في الآخر بأنه يكاتب المسلمين.</w:t>
      </w:r>
    </w:p>
    <w:p/>
    <w:p>
      <w:pPr/>
      <w:r>
        <w:rPr/>
        <w:t xml:space="preserve">ثم عاد البرواناه معه آجاي أخو أبغا. وكان موت كيقباذ سنة ثمان وستين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2026-07-27T21:50:56+03:00</dcterms:created>
  <dcterms:modified xsi:type="dcterms:W3CDTF">2026-07-27T21:50:56+03:00</dcterms:modified>
</cp:coreProperties>
</file>

<file path=docProps/custom.xml><?xml version="1.0" encoding="utf-8"?>
<Properties xmlns="http://schemas.openxmlformats.org/officeDocument/2006/custom-properties" xmlns:vt="http://schemas.openxmlformats.org/officeDocument/2006/docPropsVTypes"/>
</file>